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CA" w:rsidRDefault="0018755F" w:rsidP="00AF434B">
      <w:pPr>
        <w:tabs>
          <w:tab w:val="center" w:pos="4743"/>
        </w:tabs>
        <w:spacing w:after="0" w:line="259" w:lineRule="auto"/>
        <w:ind w:left="0" w:firstLine="0"/>
      </w:pPr>
      <w:r>
        <w:rPr>
          <w:rFonts w:ascii="Times New Roman" w:eastAsia="Times New Roman" w:hAnsi="Times New Roman" w:cs="Times New Roman"/>
          <w:sz w:val="6"/>
        </w:rPr>
        <w:t xml:space="preserve"> </w:t>
      </w:r>
      <w:r w:rsidR="00AF434B">
        <w:rPr>
          <w:rFonts w:ascii="Times New Roman" w:eastAsia="Times New Roman" w:hAnsi="Times New Roman" w:cs="Times New Roman"/>
          <w:sz w:val="6"/>
        </w:rPr>
        <w:tab/>
      </w:r>
    </w:p>
    <w:p w:rsidR="00DE32CA" w:rsidRDefault="0018755F">
      <w:pPr>
        <w:spacing w:after="0" w:line="259" w:lineRule="auto"/>
        <w:ind w:left="120" w:firstLine="0"/>
        <w:jc w:val="center"/>
      </w:pPr>
      <w:r>
        <w:rPr>
          <w:rFonts w:ascii="Arial" w:eastAsia="Arial" w:hAnsi="Arial" w:cs="Arial"/>
          <w:b/>
          <w:color w:val="1C1C1C"/>
          <w:sz w:val="28"/>
        </w:rPr>
        <w:t xml:space="preserve">Chief, </w:t>
      </w:r>
      <w:r w:rsidR="003E0C31">
        <w:rPr>
          <w:rFonts w:ascii="Arial" w:eastAsia="Arial" w:hAnsi="Arial" w:cs="Arial"/>
          <w:b/>
          <w:color w:val="1C1C1C"/>
          <w:sz w:val="28"/>
        </w:rPr>
        <w:t>Endocrinology</w:t>
      </w:r>
      <w:r>
        <w:rPr>
          <w:rFonts w:ascii="Arial" w:eastAsia="Arial" w:hAnsi="Arial" w:cs="Arial"/>
          <w:b/>
          <w:color w:val="1C1C1C"/>
          <w:sz w:val="28"/>
        </w:rPr>
        <w:t xml:space="preserve"> Service </w:t>
      </w:r>
    </w:p>
    <w:p w:rsidR="00DE32CA" w:rsidRDefault="0018755F" w:rsidP="003E0C31">
      <w:pPr>
        <w:spacing w:after="0" w:line="259" w:lineRule="auto"/>
        <w:ind w:left="132" w:right="4"/>
        <w:jc w:val="center"/>
      </w:pPr>
      <w:r>
        <w:rPr>
          <w:rFonts w:ascii="Arial" w:eastAsia="Arial" w:hAnsi="Arial" w:cs="Arial"/>
          <w:color w:val="1C1C1C"/>
          <w:sz w:val="24"/>
        </w:rPr>
        <w:t xml:space="preserve">Division of </w:t>
      </w:r>
      <w:r w:rsidR="003E0C31">
        <w:rPr>
          <w:rFonts w:ascii="Arial" w:eastAsia="Arial" w:hAnsi="Arial" w:cs="Arial"/>
          <w:color w:val="1C1C1C"/>
          <w:sz w:val="24"/>
        </w:rPr>
        <w:t>Subspecialty Medicine</w:t>
      </w:r>
    </w:p>
    <w:p w:rsidR="00DE32CA" w:rsidRDefault="0018755F">
      <w:pPr>
        <w:spacing w:after="0" w:line="259" w:lineRule="auto"/>
        <w:ind w:left="132"/>
        <w:jc w:val="center"/>
      </w:pPr>
      <w:r>
        <w:rPr>
          <w:rFonts w:ascii="Arial" w:eastAsia="Arial" w:hAnsi="Arial" w:cs="Arial"/>
          <w:color w:val="1C1C1C"/>
          <w:sz w:val="24"/>
        </w:rPr>
        <w:t>Department of Medicine</w:t>
      </w:r>
      <w:r>
        <w:rPr>
          <w:rFonts w:ascii="Arial" w:eastAsia="Arial" w:hAnsi="Arial" w:cs="Arial"/>
          <w:sz w:val="24"/>
        </w:rPr>
        <w:t xml:space="preserve"> </w:t>
      </w:r>
    </w:p>
    <w:p w:rsidR="00DE32CA" w:rsidRDefault="0018755F">
      <w:pPr>
        <w:spacing w:after="0" w:line="259" w:lineRule="auto"/>
        <w:ind w:left="132" w:right="6"/>
        <w:jc w:val="center"/>
      </w:pPr>
      <w:r>
        <w:rPr>
          <w:rFonts w:ascii="Arial" w:eastAsia="Arial" w:hAnsi="Arial" w:cs="Arial"/>
          <w:color w:val="1C1C1C"/>
          <w:sz w:val="24"/>
        </w:rPr>
        <w:t>Memorial Sloan Kettering Cancer Center</w:t>
      </w:r>
      <w:r>
        <w:rPr>
          <w:rFonts w:ascii="Arial" w:eastAsia="Arial" w:hAnsi="Arial" w:cs="Arial"/>
          <w:sz w:val="24"/>
        </w:rPr>
        <w:t xml:space="preserve"> </w:t>
      </w:r>
    </w:p>
    <w:p w:rsidR="00DE32CA" w:rsidRDefault="0018755F" w:rsidP="00AF434B">
      <w:pPr>
        <w:spacing w:after="0" w:line="259" w:lineRule="auto"/>
        <w:ind w:left="0" w:firstLine="0"/>
      </w:pPr>
      <w:r>
        <w:rPr>
          <w:rFonts w:ascii="Arial" w:eastAsia="Arial" w:hAnsi="Arial" w:cs="Arial"/>
          <w:sz w:val="24"/>
        </w:rPr>
        <w:t xml:space="preserve"> </w:t>
      </w:r>
      <w:r>
        <w:rPr>
          <w:rFonts w:ascii="Arial" w:eastAsia="Arial" w:hAnsi="Arial" w:cs="Arial"/>
          <w:sz w:val="19"/>
        </w:rPr>
        <w:t xml:space="preserve"> </w:t>
      </w:r>
    </w:p>
    <w:p w:rsidR="00DE32CA" w:rsidRDefault="0018755F">
      <w:pPr>
        <w:ind w:left="115" w:right="7"/>
      </w:pPr>
      <w:r>
        <w:t xml:space="preserve">The Division of </w:t>
      </w:r>
      <w:r w:rsidR="003E0C31">
        <w:t>Subspecialty Medicine</w:t>
      </w:r>
      <w:r>
        <w:t xml:space="preserve"> in the Department of Medicine at Memorial Sloan Kettering </w:t>
      </w:r>
    </w:p>
    <w:p w:rsidR="00DE32CA" w:rsidRDefault="0018755F">
      <w:pPr>
        <w:ind w:left="115" w:right="7"/>
      </w:pPr>
      <w:r>
        <w:t xml:space="preserve">Cancer Center is seeking to recruit an exceptional academic physician and leader to serve as </w:t>
      </w:r>
      <w:r w:rsidR="002261FC">
        <w:t>the</w:t>
      </w:r>
    </w:p>
    <w:p w:rsidR="00DE32CA" w:rsidRDefault="0018755F">
      <w:pPr>
        <w:ind w:left="115" w:right="7"/>
      </w:pPr>
      <w:r>
        <w:rPr>
          <w:b/>
        </w:rPr>
        <w:t xml:space="preserve">Chief of the </w:t>
      </w:r>
      <w:r w:rsidR="003E0C31">
        <w:rPr>
          <w:b/>
        </w:rPr>
        <w:t xml:space="preserve">Endocrinology </w:t>
      </w:r>
      <w:r>
        <w:rPr>
          <w:b/>
        </w:rPr>
        <w:t>Service</w:t>
      </w:r>
      <w:r>
        <w:t xml:space="preserve">. </w:t>
      </w:r>
      <w:r w:rsidR="003E0C31" w:rsidRPr="008F145A">
        <w:t>The Division of Subspecialty Medicine is comprised of nine services</w:t>
      </w:r>
      <w:r w:rsidR="003E0C31" w:rsidRPr="008F145A">
        <w:rPr>
          <w:spacing w:val="21"/>
        </w:rPr>
        <w:t xml:space="preserve"> </w:t>
      </w:r>
      <w:r w:rsidR="003E0C31">
        <w:t xml:space="preserve">including </w:t>
      </w:r>
      <w:r w:rsidR="003E0C31" w:rsidRPr="00E01C21">
        <w:t>pulmonary, infectious diseases, gastroenterology, endocrinology, renal, cardiology, dermatology, integrative medicine, and geriatrics services.  </w:t>
      </w:r>
      <w:r>
        <w:t xml:space="preserve">The </w:t>
      </w:r>
      <w:r w:rsidR="003E0C31">
        <w:t xml:space="preserve">Endocrinology </w:t>
      </w:r>
      <w:r>
        <w:t xml:space="preserve">Service is </w:t>
      </w:r>
      <w:r w:rsidR="002261FC">
        <w:t xml:space="preserve">currently </w:t>
      </w:r>
      <w:r>
        <w:t xml:space="preserve">comprised of </w:t>
      </w:r>
      <w:r w:rsidR="003E0C31">
        <w:t>12</w:t>
      </w:r>
      <w:r>
        <w:t xml:space="preserve"> physicians, involved in clinical care as well as clinical and laboratory-based research. </w:t>
      </w:r>
    </w:p>
    <w:p w:rsidR="00DE32CA" w:rsidRDefault="0018755F">
      <w:pPr>
        <w:spacing w:after="0" w:line="259" w:lineRule="auto"/>
        <w:ind w:left="0" w:firstLine="0"/>
      </w:pPr>
      <w:r>
        <w:t xml:space="preserve"> </w:t>
      </w:r>
    </w:p>
    <w:p w:rsidR="00DE32CA" w:rsidRDefault="0018755F">
      <w:pPr>
        <w:ind w:left="115" w:right="7"/>
      </w:pPr>
      <w:r>
        <w:t xml:space="preserve">The new service chief will report to the Head, Division of </w:t>
      </w:r>
      <w:r w:rsidR="003E0C31">
        <w:t>Subspecialty Medicine</w:t>
      </w:r>
      <w:r>
        <w:t xml:space="preserve">, and will have programmatic oversight and responsibility for the service and faculty. The service chief will work to shape the strategic and programmatic priorities for the service, clinical excellence, clinical operational efficiency, talent acquisition and retention, research, grant funding, professional development, mentorship and teaching. The administrative infrastructure available in the service will allow the service chief to maintain both a clinical practice and an independent research program. </w:t>
      </w:r>
    </w:p>
    <w:p w:rsidR="00DE32CA" w:rsidRDefault="0018755F">
      <w:pPr>
        <w:spacing w:after="0" w:line="259" w:lineRule="auto"/>
        <w:ind w:left="0" w:firstLine="0"/>
      </w:pPr>
      <w:r>
        <w:t xml:space="preserve"> </w:t>
      </w:r>
    </w:p>
    <w:p w:rsidR="00DE32CA" w:rsidRDefault="0018755F" w:rsidP="00AF434B">
      <w:pPr>
        <w:ind w:right="7"/>
      </w:pPr>
      <w:r>
        <w:t xml:space="preserve">At a minimum, qualified candidates should be/should have an: </w:t>
      </w:r>
    </w:p>
    <w:p w:rsidR="00DE32CA" w:rsidRDefault="0018755F" w:rsidP="00AF434B">
      <w:pPr>
        <w:numPr>
          <w:ilvl w:val="0"/>
          <w:numId w:val="2"/>
        </w:numPr>
        <w:spacing w:after="41"/>
        <w:ind w:right="7"/>
      </w:pPr>
      <w:r>
        <w:rPr>
          <w:noProof/>
        </w:rPr>
        <w:drawing>
          <wp:anchor distT="0" distB="0" distL="114300" distR="114300" simplePos="0" relativeHeight="251658240" behindDoc="0" locked="0" layoutInCell="1" allowOverlap="0">
            <wp:simplePos x="0" y="0"/>
            <wp:positionH relativeFrom="page">
              <wp:posOffset>3634105</wp:posOffset>
            </wp:positionH>
            <wp:positionV relativeFrom="page">
              <wp:posOffset>274320</wp:posOffset>
            </wp:positionV>
            <wp:extent cx="504825" cy="590550"/>
            <wp:effectExtent l="0" t="0" r="0" b="0"/>
            <wp:wrapTopAndBottom/>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5"/>
                    <a:stretch>
                      <a:fillRect/>
                    </a:stretch>
                  </pic:blipFill>
                  <pic:spPr>
                    <a:xfrm>
                      <a:off x="0" y="0"/>
                      <a:ext cx="504825" cy="590550"/>
                    </a:xfrm>
                    <a:prstGeom prst="rect">
                      <a:avLst/>
                    </a:prstGeom>
                  </pic:spPr>
                </pic:pic>
              </a:graphicData>
            </a:graphic>
          </wp:anchor>
        </w:drawing>
      </w:r>
      <w:r>
        <w:t xml:space="preserve">Nationally recognized clinician as well as a leader in clinical, translational, or population science </w:t>
      </w:r>
    </w:p>
    <w:p w:rsidR="00AF434B" w:rsidRDefault="00AF434B" w:rsidP="00AF434B">
      <w:pPr>
        <w:pStyle w:val="ListParagraph"/>
        <w:numPr>
          <w:ilvl w:val="0"/>
          <w:numId w:val="2"/>
        </w:numPr>
      </w:pPr>
      <w:r w:rsidRPr="00AF434B">
        <w:t xml:space="preserve">Extensive knowledge of the clinical care of patients experiencing </w:t>
      </w:r>
      <w:r w:rsidR="007407C2">
        <w:t xml:space="preserve">metabolic, </w:t>
      </w:r>
      <w:r w:rsidR="007407C2" w:rsidRPr="00AF434B">
        <w:t>hormon</w:t>
      </w:r>
      <w:r w:rsidR="007407C2">
        <w:t>al</w:t>
      </w:r>
      <w:r w:rsidR="007407C2" w:rsidRPr="00AF434B">
        <w:t xml:space="preserve"> </w:t>
      </w:r>
      <w:r w:rsidRPr="00AF434B">
        <w:t>or growth problems after cancer treatment as well as those with tumors involving the endocrine organs, such as the thyroid, pituitary, or adrenal glands</w:t>
      </w:r>
    </w:p>
    <w:p w:rsidR="00AF434B" w:rsidRPr="00AF434B" w:rsidRDefault="00AF434B" w:rsidP="00AF434B">
      <w:pPr>
        <w:pStyle w:val="ListParagraph"/>
        <w:numPr>
          <w:ilvl w:val="0"/>
          <w:numId w:val="2"/>
        </w:numPr>
      </w:pPr>
      <w:r>
        <w:t xml:space="preserve">Experience in the </w:t>
      </w:r>
      <w:r w:rsidRPr="00AF434B">
        <w:t>diagnos</w:t>
      </w:r>
      <w:r>
        <w:t>i</w:t>
      </w:r>
      <w:r w:rsidRPr="00AF434B">
        <w:t>s and treat</w:t>
      </w:r>
      <w:r>
        <w:t>ment of</w:t>
      </w:r>
      <w:r w:rsidRPr="00AF434B">
        <w:t xml:space="preserve"> all types of thyroid cancer, including papillary thyroid cancer, follicular thyroid cancer, poorly differentiated thyroid cancer, anaplastic thyroid cancer </w:t>
      </w:r>
      <w:r>
        <w:t>or</w:t>
      </w:r>
      <w:r w:rsidRPr="00AF434B">
        <w:t xml:space="preserve"> medullary thyroid cancer  </w:t>
      </w:r>
    </w:p>
    <w:p w:rsidR="00DE32CA" w:rsidRDefault="0018755F" w:rsidP="00AF434B">
      <w:pPr>
        <w:numPr>
          <w:ilvl w:val="0"/>
          <w:numId w:val="2"/>
        </w:numPr>
        <w:ind w:right="7"/>
      </w:pPr>
      <w:r>
        <w:t xml:space="preserve">Board-eligible or board-certified in </w:t>
      </w:r>
      <w:r w:rsidR="00BA03DB">
        <w:t>Endocrinology</w:t>
      </w:r>
      <w:r>
        <w:t xml:space="preserve"> </w:t>
      </w:r>
    </w:p>
    <w:p w:rsidR="00DE32CA" w:rsidRDefault="0018755F" w:rsidP="00AF434B">
      <w:pPr>
        <w:numPr>
          <w:ilvl w:val="0"/>
          <w:numId w:val="2"/>
        </w:numPr>
        <w:ind w:right="7"/>
      </w:pPr>
      <w:r>
        <w:t xml:space="preserve">Eligible for licensure in New York State and New Jersey </w:t>
      </w:r>
    </w:p>
    <w:p w:rsidR="00DE32CA" w:rsidRDefault="0018755F">
      <w:pPr>
        <w:spacing w:after="0" w:line="259" w:lineRule="auto"/>
        <w:ind w:left="0" w:firstLine="0"/>
      </w:pPr>
      <w:r>
        <w:t xml:space="preserve"> </w:t>
      </w:r>
    </w:p>
    <w:p w:rsidR="00F66379" w:rsidRDefault="0018755F" w:rsidP="00F66379">
      <w:pPr>
        <w:rPr>
          <w:rFonts w:ascii="Candara" w:eastAsiaTheme="minorHAnsi" w:hAnsi="Candara"/>
          <w:color w:val="auto"/>
        </w:rPr>
      </w:pPr>
      <w:r>
        <w:t xml:space="preserve">MSK has a strong commitment to </w:t>
      </w:r>
      <w:r w:rsidRPr="00F66379">
        <w:rPr>
          <w:rFonts w:asciiTheme="minorHAnsi" w:hAnsiTheme="minorHAnsi" w:cstheme="minorHAnsi"/>
        </w:rPr>
        <w:t xml:space="preserve">enhancing the diversity of its faculty and staff. Applicants from diverse racial, ethnic, and cultural backgrounds are encouraged to apply. MSK </w:t>
      </w:r>
      <w:r w:rsidRPr="00F66379">
        <w:rPr>
          <w:rFonts w:asciiTheme="minorHAnsi" w:hAnsiTheme="minorHAnsi" w:cstheme="minorHAnsi"/>
          <w:color w:val="201D1E"/>
        </w:rPr>
        <w:t xml:space="preserve">offers competitive salaries and benefits. </w:t>
      </w:r>
      <w:r w:rsidRPr="00F66379">
        <w:rPr>
          <w:rFonts w:asciiTheme="minorHAnsi" w:hAnsiTheme="minorHAnsi" w:cstheme="minorHAnsi"/>
          <w:color w:val="211E1E"/>
        </w:rPr>
        <w:t xml:space="preserve">Interested applicants should send curriculum vitae and letter of interest to Valentina Salkow at </w:t>
      </w:r>
      <w:r w:rsidRPr="00F66379">
        <w:rPr>
          <w:rFonts w:asciiTheme="minorHAnsi" w:hAnsiTheme="minorHAnsi" w:cstheme="minorHAnsi"/>
          <w:color w:val="0000FF"/>
          <w:u w:val="single" w:color="0000FF"/>
        </w:rPr>
        <w:t xml:space="preserve">salkowv@mskcc.org </w:t>
      </w:r>
      <w:r w:rsidRPr="00F66379">
        <w:rPr>
          <w:rFonts w:asciiTheme="minorHAnsi" w:hAnsiTheme="minorHAnsi" w:cstheme="minorHAnsi"/>
          <w:color w:val="211E1E"/>
        </w:rPr>
        <w:t xml:space="preserve">and </w:t>
      </w:r>
      <w:proofErr w:type="spellStart"/>
      <w:r w:rsidRPr="00F66379">
        <w:rPr>
          <w:rFonts w:asciiTheme="minorHAnsi" w:hAnsiTheme="minorHAnsi" w:cstheme="minorHAnsi"/>
          <w:color w:val="211E1E"/>
        </w:rPr>
        <w:t>Monchell</w:t>
      </w:r>
      <w:proofErr w:type="spellEnd"/>
      <w:r w:rsidRPr="00F66379">
        <w:rPr>
          <w:rFonts w:asciiTheme="minorHAnsi" w:hAnsiTheme="minorHAnsi" w:cstheme="minorHAnsi"/>
          <w:color w:val="211E1E"/>
        </w:rPr>
        <w:t xml:space="preserve"> Johnson at </w:t>
      </w:r>
      <w:hyperlink r:id="rId6" w:history="1">
        <w:r w:rsidR="00F66379" w:rsidRPr="00F66379">
          <w:rPr>
            <w:rStyle w:val="Hyperlink"/>
            <w:rFonts w:asciiTheme="minorHAnsi" w:hAnsiTheme="minorHAnsi" w:cstheme="minorHAnsi"/>
          </w:rPr>
          <w:t>Johnsom7@mskcc.org</w:t>
        </w:r>
      </w:hyperlink>
      <w:r w:rsidR="00F66379">
        <w:rPr>
          <w:rFonts w:asciiTheme="minorHAnsi" w:hAnsiTheme="minorHAnsi" w:cstheme="minorHAnsi"/>
        </w:rPr>
        <w:t xml:space="preserve">. </w:t>
      </w:r>
      <w:bookmarkStart w:id="0" w:name="_GoBack"/>
      <w:bookmarkEnd w:id="0"/>
    </w:p>
    <w:p w:rsidR="00DE32CA" w:rsidRDefault="00DE32CA">
      <w:pPr>
        <w:spacing w:after="0" w:line="239" w:lineRule="auto"/>
        <w:ind w:left="245" w:right="589" w:firstLine="0"/>
        <w:jc w:val="both"/>
      </w:pPr>
    </w:p>
    <w:p w:rsidR="00DE32CA" w:rsidRDefault="0018755F">
      <w:pPr>
        <w:spacing w:after="54" w:line="259" w:lineRule="auto"/>
        <w:ind w:left="0" w:firstLine="0"/>
      </w:pPr>
      <w:r>
        <w:rPr>
          <w:sz w:val="20"/>
        </w:rPr>
        <w:t xml:space="preserve"> </w:t>
      </w:r>
    </w:p>
    <w:p w:rsidR="00DE32CA" w:rsidRDefault="0018755F">
      <w:pPr>
        <w:spacing w:after="54"/>
        <w:ind w:left="255" w:right="7"/>
      </w:pPr>
      <w:r>
        <w:t xml:space="preserve">MSK is an equal opportunity and affirmative action employer committed to diversity and inclusion in all aspects of recruiting and employment. All qualified individuals are encouraged to apply and will receive consideration without regard to race, color, gender, gender identity or expression, sexual orientation, national origin, age, religion, creed, disability, veteran status or any other factor which cannot lawfully be used as a basis for an employment decision. </w:t>
      </w:r>
    </w:p>
    <w:p w:rsidR="00DE32CA" w:rsidRDefault="0018755F">
      <w:pPr>
        <w:spacing w:after="0" w:line="259" w:lineRule="auto"/>
        <w:ind w:left="0" w:firstLine="0"/>
      </w:pPr>
      <w:r>
        <w:rPr>
          <w:sz w:val="25"/>
        </w:rPr>
        <w:t xml:space="preserve"> </w:t>
      </w:r>
    </w:p>
    <w:p w:rsidR="00DE32CA" w:rsidRDefault="0018755F" w:rsidP="00AF434B">
      <w:pPr>
        <w:ind w:left="255" w:right="7"/>
      </w:pPr>
      <w:r>
        <w:t xml:space="preserve">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w:t>
      </w:r>
      <w:r>
        <w:lastRenderedPageBreak/>
        <w:t xml:space="preserve">or work procedures, providing documents in an alternate format, using a sign language interpreter, or using specialized equipment.  </w:t>
      </w:r>
    </w:p>
    <w:sectPr w:rsidR="00DE32CA" w:rsidSect="00AF434B">
      <w:pgSz w:w="12240" w:h="15840"/>
      <w:pgMar w:top="900" w:right="1434" w:bottom="90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EC1"/>
    <w:multiLevelType w:val="hybridMultilevel"/>
    <w:tmpl w:val="F0941BC0"/>
    <w:lvl w:ilvl="0" w:tplc="D4067A0E">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06810">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1833AC">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FA7BEA">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4EFA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60A12">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EFDBE">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2798C">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0430E2">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A011F9"/>
    <w:multiLevelType w:val="hybridMultilevel"/>
    <w:tmpl w:val="5F6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A"/>
    <w:rsid w:val="000F12A0"/>
    <w:rsid w:val="0018755F"/>
    <w:rsid w:val="002261FC"/>
    <w:rsid w:val="00282AE8"/>
    <w:rsid w:val="00322571"/>
    <w:rsid w:val="003E0C31"/>
    <w:rsid w:val="007407C2"/>
    <w:rsid w:val="009075EE"/>
    <w:rsid w:val="00AF434B"/>
    <w:rsid w:val="00BA03DB"/>
    <w:rsid w:val="00DE32CA"/>
    <w:rsid w:val="00EE2BE6"/>
    <w:rsid w:val="00F66379"/>
    <w:rsid w:val="00F8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E25F"/>
  <w15:docId w15:val="{EB29FEFB-717E-40C7-B60D-F920ADC2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4B"/>
    <w:pPr>
      <w:ind w:left="720"/>
      <w:contextualSpacing/>
    </w:pPr>
  </w:style>
  <w:style w:type="character" w:styleId="Hyperlink">
    <w:name w:val="Hyperlink"/>
    <w:basedOn w:val="DefaultParagraphFont"/>
    <w:uiPriority w:val="99"/>
    <w:semiHidden/>
    <w:unhideWhenUsed/>
    <w:rsid w:val="00F663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6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m7@mskc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Salkow, Valentina/Office of Physician-In-Chief</dc:creator>
  <cp:keywords/>
  <cp:lastModifiedBy>Salkow, Valentina/Office of Physician-In-Chief</cp:lastModifiedBy>
  <cp:revision>3</cp:revision>
  <dcterms:created xsi:type="dcterms:W3CDTF">2020-08-27T17:57:00Z</dcterms:created>
  <dcterms:modified xsi:type="dcterms:W3CDTF">2020-08-27T17:57:00Z</dcterms:modified>
</cp:coreProperties>
</file>